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2"/>
        <w:gridCol w:w="7763"/>
      </w:tblGrid>
      <w:tr>
        <w:tc>
          <w:tcPr>
            <w:tcW w:w="7762" w:type="dxa"/>
          </w:tcPr>
          <w:p>
            <w:pPr>
              <w:jc w:val="center"/>
              <w:rPr>
                <w:bCs/>
                <w:sz w:val="26"/>
                <w:szCs w:val="26"/>
              </w:rPr>
            </w:pPr>
            <w:r>
              <w:rPr>
                <w:bCs/>
                <w:sz w:val="26"/>
                <w:szCs w:val="26"/>
              </w:rPr>
              <w:t>SỞ NGOẠI VỤ HÀ TĨNH</w:t>
            </w:r>
          </w:p>
          <w:p>
            <w:pPr>
              <w:jc w:val="center"/>
              <w:rPr>
                <w:b/>
                <w:sz w:val="26"/>
                <w:szCs w:val="26"/>
              </w:rPr>
            </w:pPr>
            <w:r>
              <w:rPr>
                <w:b/>
                <w:sz w:val="26"/>
                <w:szCs w:val="26"/>
              </w:rPr>
              <w:t xml:space="preserve">TRUNG TÂM DỊCH THUẬT </w:t>
            </w:r>
          </w:p>
          <w:p>
            <w:pPr>
              <w:jc w:val="center"/>
              <w:rPr>
                <w:b/>
              </w:rPr>
            </w:pPr>
            <w:r>
              <w:rPr>
                <w:b/>
                <w:sz w:val="26"/>
                <w:szCs w:val="26"/>
              </w:rPr>
              <w:t>VÀ DỊCH VỤ ĐỐI NGOẠI</w:t>
            </w:r>
            <w:r>
              <w:rPr>
                <w:b/>
              </w:rPr>
              <w:t xml:space="preserve">  </w:t>
            </w:r>
          </w:p>
          <w:p>
            <w:pPr>
              <w:jc w:val="center"/>
              <w:rPr>
                <w:bCs/>
              </w:rPr>
            </w:pPr>
            <w:r>
              <w:rPr>
                <w:b/>
                <w:noProof/>
              </w:rPr>
              <mc:AlternateContent>
                <mc:Choice Requires="wps">
                  <w:drawing>
                    <wp:anchor distT="0" distB="0" distL="114300" distR="114300" simplePos="0" relativeHeight="251659264" behindDoc="0" locked="0" layoutInCell="1" allowOverlap="1">
                      <wp:simplePos x="0" y="0"/>
                      <wp:positionH relativeFrom="column">
                        <wp:posOffset>2035175</wp:posOffset>
                      </wp:positionH>
                      <wp:positionV relativeFrom="paragraph">
                        <wp:posOffset>25400</wp:posOffset>
                      </wp:positionV>
                      <wp:extent cx="7334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A6E95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0.25pt,2pt" to="21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" strokecolor="#4579b8 [3044]"/>
                  </w:pict>
                </mc:Fallback>
              </mc:AlternateContent>
            </w:r>
          </w:p>
          <w:p>
            <w:pPr>
              <w:jc w:val="center"/>
              <w:rPr>
                <w:bCs/>
                <w:sz w:val="26"/>
                <w:szCs w:val="26"/>
              </w:rPr>
            </w:pPr>
            <w:r>
              <w:rPr>
                <w:bCs/>
                <w:sz w:val="26"/>
                <w:szCs w:val="26"/>
              </w:rPr>
              <w:t>Số:  30  /CTK</w:t>
            </w:r>
          </w:p>
        </w:tc>
        <w:tc>
          <w:tcPr>
            <w:tcW w:w="7763" w:type="dxa"/>
          </w:tcPr>
          <w:p>
            <w:pPr>
              <w:jc w:val="center"/>
              <w:rPr>
                <w:b/>
                <w:sz w:val="26"/>
                <w:szCs w:val="26"/>
              </w:rPr>
            </w:pPr>
            <w:r>
              <w:rPr>
                <w:b/>
                <w:sz w:val="26"/>
                <w:szCs w:val="26"/>
              </w:rPr>
              <w:t>CỘNG HÒA XÃ HỘI CHỦ NGHĨA VIỆT NAM</w:t>
            </w:r>
          </w:p>
          <w:p>
            <w:pPr>
              <w:jc w:val="center"/>
              <w:rPr>
                <w:b/>
              </w:rPr>
            </w:pPr>
            <w:r>
              <w:rPr>
                <w:b/>
              </w:rPr>
              <w:t>Độc lập – Tự do – Hạnh phúc</w:t>
            </w:r>
          </w:p>
          <w:p>
            <w:pPr>
              <w:jc w:val="center"/>
              <w:rPr>
                <w:sz w:val="30"/>
                <w:szCs w:val="30"/>
              </w:rPr>
            </w:pPr>
            <w:r>
              <w:rPr>
                <w:b/>
                <w:noProof/>
              </w:rPr>
              <mc:AlternateContent>
                <mc:Choice Requires="wps">
                  <w:drawing>
                    <wp:anchor distT="0" distB="0" distL="114300" distR="114300" simplePos="0" relativeHeight="251660288" behindDoc="0" locked="0" layoutInCell="1" allowOverlap="1">
                      <wp:simplePos x="0" y="0"/>
                      <wp:positionH relativeFrom="column">
                        <wp:posOffset>1267196</wp:posOffset>
                      </wp:positionH>
                      <wp:positionV relativeFrom="paragraph">
                        <wp:posOffset>635</wp:posOffset>
                      </wp:positionV>
                      <wp:extent cx="22428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2242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5348C1"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8pt,.05pt" to="276.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" strokecolor="#4579b8 [3044]"/>
                  </w:pict>
                </mc:Fallback>
              </mc:AlternateContent>
            </w:r>
          </w:p>
          <w:p>
            <w:pPr>
              <w:jc w:val="center"/>
              <w:rPr>
                <w:i/>
                <w:iCs/>
                <w:sz w:val="26"/>
                <w:szCs w:val="26"/>
              </w:rPr>
            </w:pPr>
            <w:r>
              <w:rPr>
                <w:i/>
                <w:iCs/>
                <w:sz w:val="26"/>
                <w:szCs w:val="26"/>
              </w:rPr>
              <w:t>Hà Tĩnh, ngày 09  tháng 12  năm 2025</w:t>
            </w:r>
          </w:p>
        </w:tc>
      </w:tr>
    </w:tbl>
    <w:p>
      <w:pPr>
        <w:ind w:left="-567" w:hanging="567"/>
        <w:jc w:val="center"/>
        <w:rPr>
          <w:b/>
        </w:rPr>
      </w:pPr>
    </w:p>
    <w:p>
      <w:pPr>
        <w:ind w:left="-567" w:hanging="567"/>
        <w:jc w:val="center"/>
        <w:rPr>
          <w:b/>
        </w:rPr>
      </w:pPr>
      <w:r>
        <w:rPr>
          <w:b/>
        </w:rPr>
        <w:t xml:space="preserve">CHƯƠNG TRÌNH KHUNG NĂM 2025  </w:t>
      </w:r>
    </w:p>
    <w:p>
      <w:pPr>
        <w:rPr>
          <w:i/>
        </w:rPr>
      </w:pPr>
    </w:p>
    <w:tbl>
      <w:tblPr>
        <w:tblW w:w="153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573"/>
        <w:gridCol w:w="2948"/>
        <w:gridCol w:w="1984"/>
        <w:gridCol w:w="1730"/>
        <w:gridCol w:w="1246"/>
        <w:gridCol w:w="1531"/>
        <w:gridCol w:w="1531"/>
      </w:tblGrid>
      <w:tr>
        <w:trPr>
          <w:tblHeader/>
        </w:trPr>
        <w:tc>
          <w:tcPr>
            <w:tcW w:w="851" w:type="dxa"/>
            <w:tcBorders>
              <w:top w:val="single" w:sz="4" w:space="0" w:color="auto"/>
              <w:left w:val="single" w:sz="4" w:space="0" w:color="auto"/>
              <w:bottom w:val="single" w:sz="4" w:space="0" w:color="auto"/>
              <w:right w:val="single" w:sz="4" w:space="0" w:color="auto"/>
            </w:tcBorders>
            <w:vAlign w:val="center"/>
          </w:tcPr>
          <w:p>
            <w:pPr>
              <w:jc w:val="center"/>
              <w:rPr>
                <w:b/>
              </w:rPr>
            </w:pPr>
            <w:r>
              <w:rPr>
                <w:b/>
                <w:sz w:val="26"/>
              </w:rPr>
              <w:t>STT</w:t>
            </w:r>
          </w:p>
        </w:tc>
        <w:tc>
          <w:tcPr>
            <w:tcW w:w="3573"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Nội dung hoạt động trọng tâm</w:t>
            </w:r>
          </w:p>
        </w:tc>
        <w:tc>
          <w:tcPr>
            <w:tcW w:w="2948"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Lãnh đạo chỉ đạo/ phụ trách</w:t>
            </w:r>
          </w:p>
        </w:tc>
        <w:tc>
          <w:tcPr>
            <w:tcW w:w="1984"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Viên chức chủ trì</w:t>
            </w:r>
          </w:p>
        </w:tc>
        <w:tc>
          <w:tcPr>
            <w:tcW w:w="1730"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Viên chức phối hợp</w:t>
            </w:r>
          </w:p>
        </w:tc>
        <w:tc>
          <w:tcPr>
            <w:tcW w:w="1246" w:type="dxa"/>
            <w:tcBorders>
              <w:top w:val="single" w:sz="4" w:space="0" w:color="auto"/>
              <w:left w:val="single" w:sz="4" w:space="0" w:color="auto"/>
              <w:bottom w:val="single" w:sz="4" w:space="0" w:color="auto"/>
              <w:right w:val="single" w:sz="4" w:space="0" w:color="auto"/>
            </w:tcBorders>
            <w:vAlign w:val="center"/>
          </w:tcPr>
          <w:p>
            <w:pPr>
              <w:jc w:val="center"/>
              <w:rPr>
                <w:b/>
              </w:rPr>
            </w:pPr>
            <w:r>
              <w:rPr>
                <w:b/>
              </w:rPr>
              <w:t>Thời gian bắt đầu</w:t>
            </w:r>
          </w:p>
        </w:tc>
        <w:tc>
          <w:tcPr>
            <w:tcW w:w="1531" w:type="dxa"/>
            <w:tcBorders>
              <w:top w:val="single" w:sz="4" w:space="0" w:color="auto"/>
              <w:left w:val="single" w:sz="4" w:space="0" w:color="auto"/>
              <w:bottom w:val="single" w:sz="4" w:space="0" w:color="auto"/>
              <w:right w:val="single" w:sz="4" w:space="0" w:color="auto"/>
            </w:tcBorders>
          </w:tcPr>
          <w:p>
            <w:pPr>
              <w:jc w:val="center"/>
              <w:rPr>
                <w:b/>
              </w:rPr>
            </w:pPr>
            <w:r>
              <w:rPr>
                <w:b/>
              </w:rPr>
              <w:t>Thời gian hoàn thành</w:t>
            </w:r>
          </w:p>
        </w:tc>
        <w:tc>
          <w:tcPr>
            <w:tcW w:w="1531" w:type="dxa"/>
            <w:tcBorders>
              <w:top w:val="single" w:sz="4" w:space="0" w:color="auto"/>
              <w:left w:val="single" w:sz="4" w:space="0" w:color="auto"/>
              <w:bottom w:val="single" w:sz="4" w:space="0" w:color="auto"/>
              <w:right w:val="single" w:sz="4" w:space="0" w:color="auto"/>
            </w:tcBorders>
          </w:tcPr>
          <w:p>
            <w:pPr>
              <w:jc w:val="center"/>
              <w:rPr>
                <w:b/>
              </w:rPr>
            </w:pPr>
            <w:r>
              <w:rPr>
                <w:b/>
              </w:rPr>
              <w:t>Ghi chú</w:t>
            </w:r>
          </w:p>
        </w:tc>
      </w:tr>
      <w:tr>
        <w:tc>
          <w:tcPr>
            <w:tcW w:w="851" w:type="dxa"/>
            <w:shd w:val="clear" w:color="auto" w:fill="auto"/>
            <w:vAlign w:val="center"/>
          </w:tcPr>
          <w:p>
            <w:pPr>
              <w:numPr>
                <w:ilvl w:val="0"/>
                <w:numId w:val="5"/>
              </w:numPr>
              <w:jc w:val="both"/>
            </w:pPr>
          </w:p>
        </w:tc>
        <w:tc>
          <w:tcPr>
            <w:tcW w:w="3573" w:type="dxa"/>
            <w:shd w:val="clear" w:color="auto" w:fill="auto"/>
            <w:vAlign w:val="center"/>
          </w:tcPr>
          <w:p>
            <w:pPr>
              <w:jc w:val="both"/>
            </w:pPr>
            <w:r>
              <w:t>Triển khai tốt các nhiệm vụ thường xuyên của Trung tâm</w:t>
            </w:r>
          </w:p>
        </w:tc>
        <w:tc>
          <w:tcPr>
            <w:tcW w:w="2948" w:type="dxa"/>
            <w:shd w:val="clear" w:color="auto" w:fill="auto"/>
            <w:vAlign w:val="center"/>
          </w:tcPr>
          <w:p>
            <w:r>
              <w:t>Đ/c Trần Mạnh Hùng, PGĐ Sở</w:t>
            </w:r>
          </w:p>
          <w:p>
            <w:r>
              <w:t>Đ/c Nguyễn Thị Thanh Phúc, GĐ Trung tâm</w:t>
            </w:r>
          </w:p>
        </w:tc>
        <w:tc>
          <w:tcPr>
            <w:tcW w:w="1984" w:type="dxa"/>
            <w:shd w:val="clear" w:color="auto" w:fill="auto"/>
            <w:vAlign w:val="center"/>
          </w:tcPr>
          <w:p>
            <w:r>
              <w:t>Viên chức phụ trách từng mảng nhiệm vụ</w:t>
            </w:r>
          </w:p>
        </w:tc>
        <w:tc>
          <w:tcPr>
            <w:tcW w:w="1730" w:type="dxa"/>
            <w:shd w:val="clear" w:color="auto" w:fill="auto"/>
          </w:tcPr>
          <w:p/>
          <w:p>
            <w:r>
              <w:t>Các viên chức còn lại</w:t>
            </w:r>
          </w:p>
        </w:tc>
        <w:tc>
          <w:tcPr>
            <w:tcW w:w="2777" w:type="dxa"/>
            <w:gridSpan w:val="2"/>
            <w:shd w:val="clear" w:color="auto" w:fill="auto"/>
            <w:vAlign w:val="center"/>
          </w:tcPr>
          <w:p>
            <w:pPr>
              <w:jc w:val="center"/>
            </w:pPr>
            <w:r>
              <w:t>Thường xuyên</w:t>
            </w:r>
          </w:p>
        </w:tc>
        <w:tc>
          <w:tcPr>
            <w:tcW w:w="1531" w:type="dxa"/>
            <w:shd w:val="clear" w:color="auto" w:fill="auto"/>
          </w:tcPr>
          <w:p>
            <w:pPr>
              <w:jc w:val="both"/>
              <w:rPr>
                <w:sz w:val="26"/>
              </w:rPr>
            </w:pPr>
          </w:p>
        </w:tc>
      </w:tr>
      <w:tr>
        <w:tc>
          <w:tcPr>
            <w:tcW w:w="851" w:type="dxa"/>
            <w:vAlign w:val="center"/>
          </w:tcPr>
          <w:p>
            <w:pPr>
              <w:numPr>
                <w:ilvl w:val="0"/>
                <w:numId w:val="5"/>
              </w:numPr>
              <w:jc w:val="both"/>
            </w:pPr>
          </w:p>
        </w:tc>
        <w:tc>
          <w:tcPr>
            <w:tcW w:w="3573" w:type="dxa"/>
            <w:vAlign w:val="center"/>
          </w:tcPr>
          <w:p>
            <w:pPr>
              <w:jc w:val="both"/>
            </w:pPr>
            <w:r>
              <w:t>Tham mưu Sở kế hoạch tuyển dụng viên chức làm việc tại Trung tâm năm 2025</w:t>
            </w:r>
          </w:p>
        </w:tc>
        <w:tc>
          <w:tcPr>
            <w:tcW w:w="2948" w:type="dxa"/>
            <w:vAlign w:val="center"/>
          </w:tcPr>
          <w:p>
            <w:pPr>
              <w:rPr>
                <w:lang w:val="vi-VN"/>
              </w:rPr>
            </w:pPr>
            <w:r>
              <w:t>Đ</w:t>
            </w:r>
            <w:r>
              <w:rPr>
                <w:lang w:val="vi-VN"/>
              </w:rPr>
              <w:t>/c Trần Mạnh Hùng, PGĐ Sở</w:t>
            </w:r>
          </w:p>
          <w:p>
            <w:pPr>
              <w:rPr>
                <w:lang w:val="vi-VN"/>
              </w:rPr>
            </w:pPr>
            <w:r>
              <w:rPr>
                <w:lang w:val="vi-VN"/>
              </w:rPr>
              <w:t>Đ/c Nguyễn Thị Thanh Phúc, GĐ Trung tâm</w:t>
            </w:r>
          </w:p>
        </w:tc>
        <w:tc>
          <w:tcPr>
            <w:tcW w:w="1984" w:type="dxa"/>
            <w:vAlign w:val="center"/>
          </w:tcPr>
          <w:p>
            <w:pPr>
              <w:rPr>
                <w:lang w:val="vi-VN"/>
              </w:rPr>
            </w:pPr>
            <w:r>
              <w:rPr>
                <w:lang w:val="vi-VN"/>
              </w:rPr>
              <w:t>Viên chức phụ trách nhân sự, tổ chức</w:t>
            </w:r>
          </w:p>
        </w:tc>
        <w:tc>
          <w:tcPr>
            <w:tcW w:w="1730" w:type="dxa"/>
            <w:vAlign w:val="center"/>
          </w:tcPr>
          <w:p>
            <w:pPr>
              <w:rPr>
                <w:lang w:val="vi-VN"/>
              </w:rPr>
            </w:pPr>
            <w:r>
              <w:rPr>
                <w:lang w:val="vi-VN"/>
              </w:rPr>
              <w:t>Viên chức trung tâm khác</w:t>
            </w:r>
          </w:p>
        </w:tc>
        <w:tc>
          <w:tcPr>
            <w:tcW w:w="1246" w:type="dxa"/>
            <w:vAlign w:val="center"/>
          </w:tcPr>
          <w:p>
            <w:pPr>
              <w:jc w:val="center"/>
            </w:pPr>
            <w:r>
              <w:t>Tháng 1</w:t>
            </w:r>
          </w:p>
        </w:tc>
        <w:tc>
          <w:tcPr>
            <w:tcW w:w="1531" w:type="dxa"/>
            <w:vAlign w:val="center"/>
          </w:tcPr>
          <w:p>
            <w:pPr>
              <w:jc w:val="center"/>
            </w:pPr>
            <w:r>
              <w:t>Tháng 6</w:t>
            </w:r>
          </w:p>
        </w:tc>
        <w:tc>
          <w:tcPr>
            <w:tcW w:w="1531" w:type="dxa"/>
          </w:tcPr>
          <w:p>
            <w:pPr>
              <w:jc w:val="both"/>
              <w:rPr>
                <w:sz w:val="24"/>
                <w:szCs w:val="24"/>
              </w:rPr>
            </w:pPr>
            <w:r>
              <w:rPr>
                <w:sz w:val="24"/>
                <w:szCs w:val="24"/>
              </w:rPr>
              <w:t>Chưa thực hiện vì giai đoạn đó đang sắp xếp chính quyền 2 cấp nên đang tạm dừng</w:t>
            </w:r>
          </w:p>
        </w:tc>
      </w:tr>
      <w:tr>
        <w:tc>
          <w:tcPr>
            <w:tcW w:w="851" w:type="dxa"/>
            <w:shd w:val="clear" w:color="auto" w:fill="auto"/>
            <w:vAlign w:val="center"/>
          </w:tcPr>
          <w:p>
            <w:pPr>
              <w:numPr>
                <w:ilvl w:val="0"/>
                <w:numId w:val="5"/>
              </w:numPr>
              <w:jc w:val="both"/>
            </w:pPr>
          </w:p>
        </w:tc>
        <w:tc>
          <w:tcPr>
            <w:tcW w:w="3573" w:type="dxa"/>
            <w:shd w:val="clear" w:color="auto" w:fill="auto"/>
            <w:vAlign w:val="center"/>
          </w:tcPr>
          <w:p>
            <w:pPr>
              <w:jc w:val="both"/>
            </w:pPr>
            <w:r>
              <w:t xml:space="preserve">Tổ chức các lớp đào tạo tiếng Lào cho cán bộ, công chức, viên chức của tỉnh năm 2025 </w:t>
            </w:r>
          </w:p>
        </w:tc>
        <w:tc>
          <w:tcPr>
            <w:tcW w:w="2948" w:type="dxa"/>
            <w:shd w:val="clear" w:color="auto" w:fill="auto"/>
            <w:vAlign w:val="center"/>
          </w:tcPr>
          <w:p>
            <w:r>
              <w:t>Đ/c Trần Mạnh Hùng, PGĐ Sở</w:t>
            </w:r>
          </w:p>
          <w:p>
            <w:r>
              <w:t>Đ/c Nguyễn Thị Thanh Phúc, GĐ Trung tâm</w:t>
            </w:r>
          </w:p>
        </w:tc>
        <w:tc>
          <w:tcPr>
            <w:tcW w:w="1984" w:type="dxa"/>
            <w:shd w:val="clear" w:color="auto" w:fill="auto"/>
            <w:vAlign w:val="center"/>
          </w:tcPr>
          <w:p>
            <w:r>
              <w:t>Viên chức phụ trách đào tạo</w:t>
            </w:r>
          </w:p>
        </w:tc>
        <w:tc>
          <w:tcPr>
            <w:tcW w:w="1730" w:type="dxa"/>
            <w:shd w:val="clear" w:color="auto" w:fill="auto"/>
          </w:tcPr>
          <w:p/>
          <w:p>
            <w:r>
              <w:t>Viên chức trung tâm khác</w:t>
            </w:r>
          </w:p>
        </w:tc>
        <w:tc>
          <w:tcPr>
            <w:tcW w:w="1246" w:type="dxa"/>
            <w:shd w:val="clear" w:color="auto" w:fill="auto"/>
            <w:vAlign w:val="center"/>
          </w:tcPr>
          <w:p>
            <w:pPr>
              <w:jc w:val="center"/>
            </w:pPr>
            <w:r>
              <w:t>Tháng 6</w:t>
            </w:r>
          </w:p>
        </w:tc>
        <w:tc>
          <w:tcPr>
            <w:tcW w:w="1531" w:type="dxa"/>
            <w:shd w:val="clear" w:color="auto" w:fill="auto"/>
            <w:vAlign w:val="center"/>
          </w:tcPr>
          <w:p>
            <w:pPr>
              <w:jc w:val="center"/>
            </w:pPr>
            <w:r>
              <w:t>Tháng 9</w:t>
            </w:r>
          </w:p>
        </w:tc>
        <w:tc>
          <w:tcPr>
            <w:tcW w:w="1531" w:type="dxa"/>
            <w:shd w:val="clear" w:color="auto" w:fill="auto"/>
          </w:tcPr>
          <w:p>
            <w:pPr>
              <w:jc w:val="both"/>
              <w:rPr>
                <w:sz w:val="24"/>
                <w:szCs w:val="24"/>
              </w:rPr>
            </w:pPr>
            <w:r>
              <w:rPr>
                <w:sz w:val="24"/>
                <w:szCs w:val="24"/>
              </w:rPr>
              <w:t xml:space="preserve">QĐ số 24/QĐ-SNgV của Sở Ngoại vụ ngày 25/7/2025 V/v mở Lớp đào tạo, bồi dưỡng tiếng Lào cho cán </w:t>
            </w:r>
            <w:r>
              <w:rPr>
                <w:sz w:val="24"/>
                <w:szCs w:val="24"/>
              </w:rPr>
              <w:lastRenderedPageBreak/>
              <w:t>bộ, công chức, viên chức, lực lượng vũ trang tỉnh Hà Tĩnh năm 2025</w:t>
            </w:r>
          </w:p>
        </w:tc>
      </w:tr>
      <w:tr>
        <w:tc>
          <w:tcPr>
            <w:tcW w:w="851" w:type="dxa"/>
            <w:vAlign w:val="center"/>
          </w:tcPr>
          <w:p>
            <w:pPr>
              <w:numPr>
                <w:ilvl w:val="0"/>
                <w:numId w:val="5"/>
              </w:numPr>
              <w:jc w:val="both"/>
            </w:pPr>
          </w:p>
        </w:tc>
        <w:tc>
          <w:tcPr>
            <w:tcW w:w="3573" w:type="dxa"/>
            <w:vAlign w:val="center"/>
          </w:tcPr>
          <w:p>
            <w:pPr>
              <w:jc w:val="both"/>
              <w:rPr>
                <w:lang w:val="vi-VN"/>
              </w:rPr>
            </w:pPr>
            <w:r>
              <w:t xml:space="preserve">Bổ sung cộng tác viên tiếng Trung, Lào, Thái, Đức, Pháp </w:t>
            </w:r>
          </w:p>
        </w:tc>
        <w:tc>
          <w:tcPr>
            <w:tcW w:w="2948" w:type="dxa"/>
            <w:vAlign w:val="center"/>
          </w:tcPr>
          <w:p>
            <w:pPr>
              <w:rPr>
                <w:lang w:val="vi-VN"/>
              </w:rPr>
            </w:pPr>
            <w:r>
              <w:rPr>
                <w:lang w:val="vi-VN"/>
              </w:rPr>
              <w:t>Đ/c Trần Mạnh Hùng, PGĐ Sở</w:t>
            </w:r>
          </w:p>
          <w:p>
            <w:pPr>
              <w:rPr>
                <w:lang w:val="vi-VN"/>
              </w:rPr>
            </w:pPr>
            <w:r>
              <w:rPr>
                <w:lang w:val="vi-VN"/>
              </w:rPr>
              <w:t>Đ/c Nguyễn Thị Thanh Phúc, GĐ Trung tâm</w:t>
            </w:r>
          </w:p>
        </w:tc>
        <w:tc>
          <w:tcPr>
            <w:tcW w:w="1984" w:type="dxa"/>
            <w:vAlign w:val="center"/>
          </w:tcPr>
          <w:p>
            <w:pPr>
              <w:rPr>
                <w:lang w:val="vi-VN"/>
              </w:rPr>
            </w:pPr>
            <w:r>
              <w:rPr>
                <w:lang w:val="vi-VN"/>
              </w:rPr>
              <w:t>Viên chức phụ trách dịch thuật</w:t>
            </w:r>
          </w:p>
        </w:tc>
        <w:tc>
          <w:tcPr>
            <w:tcW w:w="1730" w:type="dxa"/>
            <w:vAlign w:val="center"/>
          </w:tcPr>
          <w:p>
            <w:pPr>
              <w:rPr>
                <w:lang w:val="vi-VN"/>
              </w:rPr>
            </w:pPr>
            <w:r>
              <w:rPr>
                <w:lang w:val="vi-VN"/>
              </w:rPr>
              <w:t>Viên chức trung tâm khác</w:t>
            </w:r>
          </w:p>
        </w:tc>
        <w:tc>
          <w:tcPr>
            <w:tcW w:w="1246" w:type="dxa"/>
            <w:vAlign w:val="center"/>
          </w:tcPr>
          <w:p>
            <w:pPr>
              <w:jc w:val="center"/>
            </w:pPr>
            <w:r>
              <w:t>Tháng 1</w:t>
            </w:r>
          </w:p>
        </w:tc>
        <w:tc>
          <w:tcPr>
            <w:tcW w:w="1531" w:type="dxa"/>
            <w:vAlign w:val="center"/>
          </w:tcPr>
          <w:p>
            <w:pPr>
              <w:jc w:val="center"/>
            </w:pPr>
            <w:r>
              <w:t>Tháng 12</w:t>
            </w:r>
          </w:p>
        </w:tc>
        <w:tc>
          <w:tcPr>
            <w:tcW w:w="1531" w:type="dxa"/>
          </w:tcPr>
          <w:p>
            <w:pPr>
              <w:jc w:val="both"/>
              <w:rPr>
                <w:sz w:val="24"/>
                <w:szCs w:val="24"/>
              </w:rPr>
            </w:pPr>
            <w:r>
              <w:rPr>
                <w:sz w:val="24"/>
                <w:szCs w:val="24"/>
              </w:rPr>
              <w:t>Hợp đồng CTV biên, phiên dịch tiếng Pháp số 04.2025/HĐCTV ký ngày 10/4/2025; Hợp đồng CTV biên, phiên dịch tiếng Trung số 09.2025/HĐCTV ký ngày 29/4/2025</w:t>
            </w:r>
          </w:p>
        </w:tc>
      </w:tr>
      <w:tr>
        <w:tc>
          <w:tcPr>
            <w:tcW w:w="851" w:type="dxa"/>
            <w:vAlign w:val="center"/>
          </w:tcPr>
          <w:p>
            <w:pPr>
              <w:numPr>
                <w:ilvl w:val="0"/>
                <w:numId w:val="5"/>
              </w:numPr>
              <w:jc w:val="both"/>
            </w:pPr>
          </w:p>
        </w:tc>
        <w:tc>
          <w:tcPr>
            <w:tcW w:w="3573" w:type="dxa"/>
            <w:vAlign w:val="center"/>
          </w:tcPr>
          <w:p>
            <w:pPr>
              <w:jc w:val="both"/>
            </w:pPr>
            <w:r>
              <w:t xml:space="preserve">Phối hợp Đại sứ quán Mỹ tổ chức lớp bồi dưỡng tiếng Anh cho cán bộ, công chức, viên chức tỉnh  </w:t>
            </w:r>
          </w:p>
        </w:tc>
        <w:tc>
          <w:tcPr>
            <w:tcW w:w="2948" w:type="dxa"/>
            <w:vAlign w:val="center"/>
          </w:tcPr>
          <w:p>
            <w:pPr>
              <w:rPr>
                <w:lang w:val="vi-VN"/>
              </w:rPr>
            </w:pPr>
            <w:r>
              <w:rPr>
                <w:lang w:val="vi-VN"/>
              </w:rPr>
              <w:t>Đ/c Trần Mạnh Hùng, PGĐ Sở</w:t>
            </w:r>
          </w:p>
          <w:p>
            <w:pPr>
              <w:rPr>
                <w:lang w:val="vi-VN"/>
              </w:rPr>
            </w:pPr>
            <w:r>
              <w:rPr>
                <w:lang w:val="vi-VN"/>
              </w:rPr>
              <w:t>Đ/c Nguyễn Thị Thanh Phúc, GĐ Trung tâm</w:t>
            </w:r>
          </w:p>
        </w:tc>
        <w:tc>
          <w:tcPr>
            <w:tcW w:w="1984" w:type="dxa"/>
            <w:vAlign w:val="center"/>
          </w:tcPr>
          <w:p>
            <w:pPr>
              <w:rPr>
                <w:lang w:val="vi-VN"/>
              </w:rPr>
            </w:pPr>
            <w:r>
              <w:rPr>
                <w:lang w:val="vi-VN"/>
              </w:rPr>
              <w:t>Viên chức phụ trách đào tạo</w:t>
            </w:r>
          </w:p>
        </w:tc>
        <w:tc>
          <w:tcPr>
            <w:tcW w:w="1730" w:type="dxa"/>
            <w:vAlign w:val="center"/>
          </w:tcPr>
          <w:p>
            <w:pPr>
              <w:rPr>
                <w:lang w:val="vi-VN"/>
              </w:rPr>
            </w:pPr>
            <w:r>
              <w:t>Các viên chức khác</w:t>
            </w:r>
          </w:p>
        </w:tc>
        <w:tc>
          <w:tcPr>
            <w:tcW w:w="1246" w:type="dxa"/>
            <w:vAlign w:val="center"/>
          </w:tcPr>
          <w:p>
            <w:pPr>
              <w:jc w:val="center"/>
            </w:pPr>
            <w:r>
              <w:t>Tháng 4</w:t>
            </w:r>
          </w:p>
        </w:tc>
        <w:tc>
          <w:tcPr>
            <w:tcW w:w="1531" w:type="dxa"/>
            <w:vAlign w:val="center"/>
          </w:tcPr>
          <w:p>
            <w:pPr>
              <w:jc w:val="center"/>
            </w:pPr>
            <w:r>
              <w:t>Tháng 10</w:t>
            </w:r>
          </w:p>
        </w:tc>
        <w:tc>
          <w:tcPr>
            <w:tcW w:w="1531" w:type="dxa"/>
          </w:tcPr>
          <w:p>
            <w:pPr>
              <w:jc w:val="both"/>
              <w:rPr>
                <w:lang w:val="vi-VN"/>
              </w:rPr>
            </w:pPr>
            <w:r>
              <w:rPr>
                <w:sz w:val="24"/>
                <w:szCs w:val="24"/>
              </w:rPr>
              <w:t xml:space="preserve">QĐ số 19/QĐ-SNgV của Sở Ngoại vụ ngày 16/6/2025 V/v thành lập </w:t>
            </w:r>
            <w:r>
              <w:rPr>
                <w:sz w:val="24"/>
                <w:szCs w:val="24"/>
              </w:rPr>
              <w:lastRenderedPageBreak/>
              <w:t>lớp, chỉ định Ban Cán sự, Ban Tổ chức và Trợ giảng Lớp bồi dưỡng tiếng Anh giao tiếp cho cán bộ, công chức, viên chức tỉnh Hà Tĩnh năm 2025</w:t>
            </w:r>
          </w:p>
        </w:tc>
      </w:tr>
      <w:tr>
        <w:tc>
          <w:tcPr>
            <w:tcW w:w="851" w:type="dxa"/>
            <w:vAlign w:val="center"/>
          </w:tcPr>
          <w:p>
            <w:pPr>
              <w:numPr>
                <w:ilvl w:val="0"/>
                <w:numId w:val="5"/>
              </w:numPr>
              <w:jc w:val="both"/>
              <w:rPr>
                <w:lang w:val="vi-VN"/>
              </w:rPr>
            </w:pPr>
          </w:p>
        </w:tc>
        <w:tc>
          <w:tcPr>
            <w:tcW w:w="3573" w:type="dxa"/>
            <w:vAlign w:val="center"/>
          </w:tcPr>
          <w:p>
            <w:pPr>
              <w:jc w:val="both"/>
              <w:rPr>
                <w:lang w:val="vi-VN"/>
              </w:rPr>
            </w:pPr>
            <w:r>
              <w:rPr>
                <w:lang w:val="vi-VN"/>
              </w:rPr>
              <w:t>Tham mưu hồ sơ trình Quyết định của UBND tỉnh ban hành giá dịch vụ công sử dụng ngân sách nhà nước thuộc lĩnh vực đối ngoại trên địa bàn tỉnh Hà Tĩnh</w:t>
            </w:r>
          </w:p>
        </w:tc>
        <w:tc>
          <w:tcPr>
            <w:tcW w:w="2948" w:type="dxa"/>
            <w:vAlign w:val="center"/>
          </w:tcPr>
          <w:p>
            <w:pPr>
              <w:rPr>
                <w:lang w:val="vi-VN"/>
              </w:rPr>
            </w:pPr>
            <w:r>
              <w:rPr>
                <w:lang w:val="vi-VN"/>
              </w:rPr>
              <w:t>Đ/c Trần Mạnh Hùng, PGĐ Sở</w:t>
            </w:r>
          </w:p>
          <w:p>
            <w:pPr>
              <w:rPr>
                <w:lang w:val="vi-VN"/>
              </w:rPr>
            </w:pPr>
            <w:r>
              <w:rPr>
                <w:lang w:val="vi-VN"/>
              </w:rPr>
              <w:t>Đ/c Nguyễn Thị Thanh Phúc, GĐ Trung tâm</w:t>
            </w:r>
          </w:p>
        </w:tc>
        <w:tc>
          <w:tcPr>
            <w:tcW w:w="1984" w:type="dxa"/>
            <w:vAlign w:val="center"/>
          </w:tcPr>
          <w:p>
            <w:pPr>
              <w:rPr>
                <w:lang w:val="vi-VN"/>
              </w:rPr>
            </w:pPr>
            <w:r>
              <w:rPr>
                <w:lang w:val="vi-VN"/>
              </w:rPr>
              <w:t>Viên chức phụ trách tài chính</w:t>
            </w:r>
          </w:p>
        </w:tc>
        <w:tc>
          <w:tcPr>
            <w:tcW w:w="1730" w:type="dxa"/>
            <w:vAlign w:val="center"/>
          </w:tcPr>
          <w:p>
            <w:r>
              <w:t>Các viên chức khác</w:t>
            </w:r>
          </w:p>
        </w:tc>
        <w:tc>
          <w:tcPr>
            <w:tcW w:w="1246" w:type="dxa"/>
            <w:vAlign w:val="center"/>
          </w:tcPr>
          <w:p>
            <w:pPr>
              <w:jc w:val="center"/>
            </w:pPr>
            <w:r>
              <w:t>Tháng 1</w:t>
            </w:r>
          </w:p>
        </w:tc>
        <w:tc>
          <w:tcPr>
            <w:tcW w:w="1531" w:type="dxa"/>
            <w:vAlign w:val="center"/>
          </w:tcPr>
          <w:p>
            <w:pPr>
              <w:jc w:val="center"/>
            </w:pPr>
            <w:r>
              <w:t>Tháng 6</w:t>
            </w:r>
          </w:p>
        </w:tc>
        <w:tc>
          <w:tcPr>
            <w:tcW w:w="1531" w:type="dxa"/>
          </w:tcPr>
          <w:p>
            <w:pPr>
              <w:jc w:val="both"/>
              <w:rPr>
                <w:sz w:val="24"/>
                <w:szCs w:val="24"/>
              </w:rPr>
            </w:pPr>
            <w:r>
              <w:rPr>
                <w:sz w:val="24"/>
                <w:szCs w:val="24"/>
              </w:rPr>
              <w:t>Công văn số 1757/SNgV-VPTTr ngày 02/12/2025 của Sở Ngoại vụ về việc định giá dịch vụ sự nghiệp công sử dụng ngân sách nhà nước thuộc lĩnh vực đối ngoại</w:t>
            </w:r>
          </w:p>
        </w:tc>
      </w:tr>
      <w:tr>
        <w:tc>
          <w:tcPr>
            <w:tcW w:w="851" w:type="dxa"/>
            <w:vAlign w:val="center"/>
          </w:tcPr>
          <w:p>
            <w:pPr>
              <w:numPr>
                <w:ilvl w:val="0"/>
                <w:numId w:val="5"/>
              </w:numPr>
              <w:jc w:val="both"/>
              <w:rPr>
                <w:lang w:val="vi-VN"/>
              </w:rPr>
            </w:pPr>
          </w:p>
        </w:tc>
        <w:tc>
          <w:tcPr>
            <w:tcW w:w="3573" w:type="dxa"/>
            <w:vAlign w:val="center"/>
          </w:tcPr>
          <w:p>
            <w:pPr>
              <w:jc w:val="both"/>
              <w:rPr>
                <w:lang w:val="vi-VN"/>
              </w:rPr>
            </w:pPr>
            <w:r>
              <w:rPr>
                <w:lang w:val="vi-VN"/>
              </w:rPr>
              <w:t>Chương trình tư vấn du học với các trường cấp III</w:t>
            </w:r>
          </w:p>
        </w:tc>
        <w:tc>
          <w:tcPr>
            <w:tcW w:w="2948" w:type="dxa"/>
            <w:vAlign w:val="center"/>
          </w:tcPr>
          <w:p>
            <w:pPr>
              <w:rPr>
                <w:lang w:val="vi-VN"/>
              </w:rPr>
            </w:pPr>
            <w:r>
              <w:rPr>
                <w:lang w:val="vi-VN"/>
              </w:rPr>
              <w:t>Đ/c Trần Mạnh Hùng, PGĐ Sở</w:t>
            </w:r>
          </w:p>
          <w:p>
            <w:pPr>
              <w:rPr>
                <w:lang w:val="vi-VN"/>
              </w:rPr>
            </w:pPr>
            <w:r>
              <w:rPr>
                <w:lang w:val="vi-VN"/>
              </w:rPr>
              <w:t xml:space="preserve">Đ/c Nguyễn Thị Thanh </w:t>
            </w:r>
            <w:r>
              <w:rPr>
                <w:lang w:val="vi-VN"/>
              </w:rPr>
              <w:lastRenderedPageBreak/>
              <w:t>Phúc, GĐ Trung tâm</w:t>
            </w:r>
          </w:p>
        </w:tc>
        <w:tc>
          <w:tcPr>
            <w:tcW w:w="1984" w:type="dxa"/>
            <w:vAlign w:val="center"/>
          </w:tcPr>
          <w:p>
            <w:pPr>
              <w:rPr>
                <w:lang w:val="vi-VN"/>
              </w:rPr>
            </w:pPr>
            <w:r>
              <w:rPr>
                <w:lang w:val="vi-VN"/>
              </w:rPr>
              <w:lastRenderedPageBreak/>
              <w:t>Viên chức phụ trách đào tạo</w:t>
            </w:r>
          </w:p>
        </w:tc>
        <w:tc>
          <w:tcPr>
            <w:tcW w:w="1730" w:type="dxa"/>
            <w:vAlign w:val="center"/>
          </w:tcPr>
          <w:p>
            <w:pPr>
              <w:rPr>
                <w:lang w:val="vi-VN"/>
              </w:rPr>
            </w:pPr>
            <w:r>
              <w:t>Các viên chức khác</w:t>
            </w:r>
          </w:p>
        </w:tc>
        <w:tc>
          <w:tcPr>
            <w:tcW w:w="1246" w:type="dxa"/>
            <w:vAlign w:val="center"/>
          </w:tcPr>
          <w:p>
            <w:pPr>
              <w:jc w:val="center"/>
            </w:pPr>
            <w:r>
              <w:t>Tháng 2</w:t>
            </w:r>
          </w:p>
        </w:tc>
        <w:tc>
          <w:tcPr>
            <w:tcW w:w="1531" w:type="dxa"/>
            <w:vAlign w:val="center"/>
          </w:tcPr>
          <w:p>
            <w:pPr>
              <w:jc w:val="center"/>
            </w:pPr>
            <w:r>
              <w:t>Tháng 9</w:t>
            </w:r>
          </w:p>
        </w:tc>
        <w:tc>
          <w:tcPr>
            <w:tcW w:w="1531" w:type="dxa"/>
          </w:tcPr>
          <w:p>
            <w:pPr>
              <w:jc w:val="both"/>
            </w:pPr>
            <w:r>
              <w:t>Chưa thực hiện được</w:t>
            </w:r>
          </w:p>
        </w:tc>
      </w:tr>
    </w:tbl>
    <w:p>
      <w:pPr>
        <w:jc w:val="both"/>
        <w:rPr>
          <w:i/>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2"/>
        <w:gridCol w:w="7763"/>
      </w:tblGrid>
      <w:tr>
        <w:tc>
          <w:tcPr>
            <w:tcW w:w="7762" w:type="dxa"/>
          </w:tcPr>
          <w:p>
            <w:pPr>
              <w:rPr>
                <w:b/>
                <w:bCs/>
                <w:i/>
                <w:sz w:val="24"/>
                <w:szCs w:val="24"/>
                <w:lang w:val="vi-VN"/>
              </w:rPr>
            </w:pPr>
            <w:r>
              <w:rPr>
                <w:b/>
                <w:bCs/>
                <w:i/>
                <w:sz w:val="24"/>
                <w:szCs w:val="24"/>
                <w:lang w:val="vi-VN"/>
              </w:rPr>
              <w:t>Nơi nhận:</w:t>
            </w:r>
          </w:p>
          <w:p>
            <w:pPr>
              <w:rPr>
                <w:iCs/>
                <w:sz w:val="22"/>
                <w:szCs w:val="22"/>
                <w:lang w:val="vi-VN"/>
              </w:rPr>
            </w:pPr>
            <w:r>
              <w:rPr>
                <w:iCs/>
                <w:sz w:val="22"/>
                <w:szCs w:val="22"/>
                <w:lang w:val="vi-VN"/>
              </w:rPr>
              <w:t>- PGĐ Sở phụ trách TT;</w:t>
            </w:r>
          </w:p>
          <w:p>
            <w:pPr>
              <w:rPr>
                <w:iCs/>
                <w:sz w:val="22"/>
                <w:szCs w:val="22"/>
              </w:rPr>
            </w:pPr>
            <w:r>
              <w:rPr>
                <w:iCs/>
                <w:sz w:val="22"/>
                <w:szCs w:val="22"/>
              </w:rPr>
              <w:t>- VP Sở;</w:t>
            </w:r>
          </w:p>
          <w:p>
            <w:pPr>
              <w:rPr>
                <w:iCs/>
              </w:rPr>
            </w:pPr>
            <w:r>
              <w:rPr>
                <w:iCs/>
                <w:sz w:val="22"/>
                <w:szCs w:val="22"/>
              </w:rPr>
              <w:t>- Lưu: VT.</w:t>
            </w:r>
          </w:p>
        </w:tc>
        <w:tc>
          <w:tcPr>
            <w:tcW w:w="7763" w:type="dxa"/>
          </w:tcPr>
          <w:p>
            <w:pPr>
              <w:jc w:val="center"/>
              <w:rPr>
                <w:b/>
                <w:bCs/>
                <w:iCs/>
                <w:lang w:val="vi-VN"/>
              </w:rPr>
            </w:pPr>
            <w:bookmarkStart w:id="0" w:name="_GoBack"/>
            <w:bookmarkEnd w:id="0"/>
          </w:p>
          <w:p>
            <w:pPr>
              <w:jc w:val="center"/>
              <w:rPr>
                <w:b/>
                <w:bCs/>
                <w:iCs/>
                <w:lang w:val="vi-VN"/>
              </w:rPr>
            </w:pPr>
          </w:p>
          <w:p>
            <w:pPr>
              <w:jc w:val="center"/>
              <w:rPr>
                <w:b/>
                <w:bCs/>
                <w:iCs/>
                <w:lang w:val="vi-VN"/>
              </w:rPr>
            </w:pPr>
          </w:p>
          <w:p>
            <w:pPr>
              <w:jc w:val="center"/>
              <w:rPr>
                <w:b/>
                <w:bCs/>
                <w:iCs/>
                <w:lang w:val="vi-VN"/>
              </w:rPr>
            </w:pPr>
          </w:p>
          <w:p>
            <w:pPr>
              <w:jc w:val="center"/>
              <w:rPr>
                <w:iCs/>
                <w:lang w:val="vi-VN"/>
              </w:rPr>
            </w:pPr>
          </w:p>
        </w:tc>
      </w:tr>
    </w:tbl>
    <w:p>
      <w:pPr>
        <w:rPr>
          <w:iCs/>
          <w:lang w:val="vi-VN"/>
        </w:rPr>
      </w:pPr>
    </w:p>
    <w:sectPr>
      <w:headerReference w:type="default" r:id="rId9"/>
      <w:footerReference w:type="default" r:id="rId10"/>
      <w:pgSz w:w="16840" w:h="11907" w:orient="landscape" w:code="9"/>
      <w:pgMar w:top="1021" w:right="539" w:bottom="1021" w:left="992"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okChampa">
    <w:altName w:val="Arial Unicode MS"/>
    <w:charset w:val="DE"/>
    <w:family w:val="swiss"/>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right"/>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172229"/>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D5083"/>
    <w:multiLevelType w:val="hybridMultilevel"/>
    <w:tmpl w:val="383817BC"/>
    <w:lvl w:ilvl="0" w:tplc="5EB80D9A">
      <w:numFmt w:val="bullet"/>
      <w:lvlText w:val="-"/>
      <w:lvlJc w:val="left"/>
      <w:pPr>
        <w:ind w:left="229" w:hanging="360"/>
      </w:pPr>
      <w:rPr>
        <w:rFonts w:ascii="Times New Roman" w:eastAsia="Times New Roman" w:hAnsi="Times New Roman" w:cs="Times New Roman" w:hint="default"/>
      </w:rPr>
    </w:lvl>
    <w:lvl w:ilvl="1" w:tplc="04090003" w:tentative="1">
      <w:start w:val="1"/>
      <w:numFmt w:val="bullet"/>
      <w:lvlText w:val="o"/>
      <w:lvlJc w:val="left"/>
      <w:pPr>
        <w:ind w:left="949" w:hanging="360"/>
      </w:pPr>
      <w:rPr>
        <w:rFonts w:ascii="Courier New" w:hAnsi="Courier New" w:cs="Courier New" w:hint="default"/>
      </w:rPr>
    </w:lvl>
    <w:lvl w:ilvl="2" w:tplc="04090005" w:tentative="1">
      <w:start w:val="1"/>
      <w:numFmt w:val="bullet"/>
      <w:lvlText w:val=""/>
      <w:lvlJc w:val="left"/>
      <w:pPr>
        <w:ind w:left="1669" w:hanging="360"/>
      </w:pPr>
      <w:rPr>
        <w:rFonts w:ascii="Wingdings" w:hAnsi="Wingdings" w:hint="default"/>
      </w:rPr>
    </w:lvl>
    <w:lvl w:ilvl="3" w:tplc="04090001" w:tentative="1">
      <w:start w:val="1"/>
      <w:numFmt w:val="bullet"/>
      <w:lvlText w:val=""/>
      <w:lvlJc w:val="left"/>
      <w:pPr>
        <w:ind w:left="2389" w:hanging="360"/>
      </w:pPr>
      <w:rPr>
        <w:rFonts w:ascii="Symbol" w:hAnsi="Symbol" w:hint="default"/>
      </w:rPr>
    </w:lvl>
    <w:lvl w:ilvl="4" w:tplc="04090003" w:tentative="1">
      <w:start w:val="1"/>
      <w:numFmt w:val="bullet"/>
      <w:lvlText w:val="o"/>
      <w:lvlJc w:val="left"/>
      <w:pPr>
        <w:ind w:left="3109" w:hanging="360"/>
      </w:pPr>
      <w:rPr>
        <w:rFonts w:ascii="Courier New" w:hAnsi="Courier New" w:cs="Courier New" w:hint="default"/>
      </w:rPr>
    </w:lvl>
    <w:lvl w:ilvl="5" w:tplc="04090005" w:tentative="1">
      <w:start w:val="1"/>
      <w:numFmt w:val="bullet"/>
      <w:lvlText w:val=""/>
      <w:lvlJc w:val="left"/>
      <w:pPr>
        <w:ind w:left="3829" w:hanging="360"/>
      </w:pPr>
      <w:rPr>
        <w:rFonts w:ascii="Wingdings" w:hAnsi="Wingdings" w:hint="default"/>
      </w:rPr>
    </w:lvl>
    <w:lvl w:ilvl="6" w:tplc="04090001" w:tentative="1">
      <w:start w:val="1"/>
      <w:numFmt w:val="bullet"/>
      <w:lvlText w:val=""/>
      <w:lvlJc w:val="left"/>
      <w:pPr>
        <w:ind w:left="4549" w:hanging="360"/>
      </w:pPr>
      <w:rPr>
        <w:rFonts w:ascii="Symbol" w:hAnsi="Symbol" w:hint="default"/>
      </w:rPr>
    </w:lvl>
    <w:lvl w:ilvl="7" w:tplc="04090003" w:tentative="1">
      <w:start w:val="1"/>
      <w:numFmt w:val="bullet"/>
      <w:lvlText w:val="o"/>
      <w:lvlJc w:val="left"/>
      <w:pPr>
        <w:ind w:left="5269" w:hanging="360"/>
      </w:pPr>
      <w:rPr>
        <w:rFonts w:ascii="Courier New" w:hAnsi="Courier New" w:cs="Courier New" w:hint="default"/>
      </w:rPr>
    </w:lvl>
    <w:lvl w:ilvl="8" w:tplc="04090005" w:tentative="1">
      <w:start w:val="1"/>
      <w:numFmt w:val="bullet"/>
      <w:lvlText w:val=""/>
      <w:lvlJc w:val="left"/>
      <w:pPr>
        <w:ind w:left="5989" w:hanging="360"/>
      </w:pPr>
      <w:rPr>
        <w:rFonts w:ascii="Wingdings" w:hAnsi="Wingdings" w:hint="default"/>
      </w:rPr>
    </w:lvl>
  </w:abstractNum>
  <w:abstractNum w:abstractNumId="1">
    <w:nsid w:val="179D094F"/>
    <w:multiLevelType w:val="hybridMultilevel"/>
    <w:tmpl w:val="C7FCAB34"/>
    <w:lvl w:ilvl="0" w:tplc="550AC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EE6D89"/>
    <w:multiLevelType w:val="hybridMultilevel"/>
    <w:tmpl w:val="9DEAA794"/>
    <w:lvl w:ilvl="0" w:tplc="50CC25C8">
      <w:start w:val="1"/>
      <w:numFmt w:val="decimal"/>
      <w:lvlText w:val="%1."/>
      <w:lvlJc w:val="left"/>
      <w:pPr>
        <w:tabs>
          <w:tab w:val="num" w:pos="644"/>
        </w:tabs>
        <w:ind w:left="644" w:hanging="360"/>
      </w:pPr>
      <w:rPr>
        <w:color w:val="auto"/>
      </w:rPr>
    </w:lvl>
    <w:lvl w:ilvl="1" w:tplc="04090019" w:tentative="1">
      <w:start w:val="1"/>
      <w:numFmt w:val="lowerLetter"/>
      <w:lvlText w:val="%2."/>
      <w:lvlJc w:val="left"/>
      <w:pPr>
        <w:tabs>
          <w:tab w:val="num" w:pos="679"/>
        </w:tabs>
        <w:ind w:left="679" w:hanging="360"/>
      </w:pPr>
    </w:lvl>
    <w:lvl w:ilvl="2" w:tplc="0409001B" w:tentative="1">
      <w:start w:val="1"/>
      <w:numFmt w:val="lowerRoman"/>
      <w:lvlText w:val="%3."/>
      <w:lvlJc w:val="right"/>
      <w:pPr>
        <w:tabs>
          <w:tab w:val="num" w:pos="1399"/>
        </w:tabs>
        <w:ind w:left="1399" w:hanging="180"/>
      </w:pPr>
    </w:lvl>
    <w:lvl w:ilvl="3" w:tplc="0409000F" w:tentative="1">
      <w:start w:val="1"/>
      <w:numFmt w:val="decimal"/>
      <w:lvlText w:val="%4."/>
      <w:lvlJc w:val="left"/>
      <w:pPr>
        <w:tabs>
          <w:tab w:val="num" w:pos="2119"/>
        </w:tabs>
        <w:ind w:left="2119" w:hanging="360"/>
      </w:pPr>
    </w:lvl>
    <w:lvl w:ilvl="4" w:tplc="04090019" w:tentative="1">
      <w:start w:val="1"/>
      <w:numFmt w:val="lowerLetter"/>
      <w:lvlText w:val="%5."/>
      <w:lvlJc w:val="left"/>
      <w:pPr>
        <w:tabs>
          <w:tab w:val="num" w:pos="2839"/>
        </w:tabs>
        <w:ind w:left="2839" w:hanging="360"/>
      </w:pPr>
    </w:lvl>
    <w:lvl w:ilvl="5" w:tplc="0409001B" w:tentative="1">
      <w:start w:val="1"/>
      <w:numFmt w:val="lowerRoman"/>
      <w:lvlText w:val="%6."/>
      <w:lvlJc w:val="right"/>
      <w:pPr>
        <w:tabs>
          <w:tab w:val="num" w:pos="3559"/>
        </w:tabs>
        <w:ind w:left="3559" w:hanging="180"/>
      </w:pPr>
    </w:lvl>
    <w:lvl w:ilvl="6" w:tplc="0409000F" w:tentative="1">
      <w:start w:val="1"/>
      <w:numFmt w:val="decimal"/>
      <w:lvlText w:val="%7."/>
      <w:lvlJc w:val="left"/>
      <w:pPr>
        <w:tabs>
          <w:tab w:val="num" w:pos="4279"/>
        </w:tabs>
        <w:ind w:left="4279" w:hanging="360"/>
      </w:pPr>
    </w:lvl>
    <w:lvl w:ilvl="7" w:tplc="04090019" w:tentative="1">
      <w:start w:val="1"/>
      <w:numFmt w:val="lowerLetter"/>
      <w:lvlText w:val="%8."/>
      <w:lvlJc w:val="left"/>
      <w:pPr>
        <w:tabs>
          <w:tab w:val="num" w:pos="4999"/>
        </w:tabs>
        <w:ind w:left="4999" w:hanging="360"/>
      </w:pPr>
    </w:lvl>
    <w:lvl w:ilvl="8" w:tplc="0409001B" w:tentative="1">
      <w:start w:val="1"/>
      <w:numFmt w:val="lowerRoman"/>
      <w:lvlText w:val="%9."/>
      <w:lvlJc w:val="right"/>
      <w:pPr>
        <w:tabs>
          <w:tab w:val="num" w:pos="5719"/>
        </w:tabs>
        <w:ind w:left="5719" w:hanging="180"/>
      </w:pPr>
    </w:lvl>
  </w:abstractNum>
  <w:abstractNum w:abstractNumId="3">
    <w:nsid w:val="2ED975E1"/>
    <w:multiLevelType w:val="hybridMultilevel"/>
    <w:tmpl w:val="FF5C0848"/>
    <w:lvl w:ilvl="0" w:tplc="A6A6C6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227C47"/>
    <w:multiLevelType w:val="hybridMultilevel"/>
    <w:tmpl w:val="7F3A4F66"/>
    <w:lvl w:ilvl="0" w:tplc="514A12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6A455AA"/>
    <w:multiLevelType w:val="hybridMultilevel"/>
    <w:tmpl w:val="9DEAA794"/>
    <w:lvl w:ilvl="0" w:tplc="50CC25C8">
      <w:start w:val="1"/>
      <w:numFmt w:val="decimal"/>
      <w:lvlText w:val="%1."/>
      <w:lvlJc w:val="left"/>
      <w:pPr>
        <w:tabs>
          <w:tab w:val="num" w:pos="644"/>
        </w:tabs>
        <w:ind w:left="644" w:hanging="360"/>
      </w:pPr>
      <w:rPr>
        <w:color w:val="auto"/>
      </w:rPr>
    </w:lvl>
    <w:lvl w:ilvl="1" w:tplc="04090019" w:tentative="1">
      <w:start w:val="1"/>
      <w:numFmt w:val="lowerLetter"/>
      <w:lvlText w:val="%2."/>
      <w:lvlJc w:val="left"/>
      <w:pPr>
        <w:tabs>
          <w:tab w:val="num" w:pos="679"/>
        </w:tabs>
        <w:ind w:left="679" w:hanging="360"/>
      </w:pPr>
    </w:lvl>
    <w:lvl w:ilvl="2" w:tplc="0409001B" w:tentative="1">
      <w:start w:val="1"/>
      <w:numFmt w:val="lowerRoman"/>
      <w:lvlText w:val="%3."/>
      <w:lvlJc w:val="right"/>
      <w:pPr>
        <w:tabs>
          <w:tab w:val="num" w:pos="1399"/>
        </w:tabs>
        <w:ind w:left="1399" w:hanging="180"/>
      </w:pPr>
    </w:lvl>
    <w:lvl w:ilvl="3" w:tplc="0409000F" w:tentative="1">
      <w:start w:val="1"/>
      <w:numFmt w:val="decimal"/>
      <w:lvlText w:val="%4."/>
      <w:lvlJc w:val="left"/>
      <w:pPr>
        <w:tabs>
          <w:tab w:val="num" w:pos="2119"/>
        </w:tabs>
        <w:ind w:left="2119" w:hanging="360"/>
      </w:pPr>
    </w:lvl>
    <w:lvl w:ilvl="4" w:tplc="04090019" w:tentative="1">
      <w:start w:val="1"/>
      <w:numFmt w:val="lowerLetter"/>
      <w:lvlText w:val="%5."/>
      <w:lvlJc w:val="left"/>
      <w:pPr>
        <w:tabs>
          <w:tab w:val="num" w:pos="2839"/>
        </w:tabs>
        <w:ind w:left="2839" w:hanging="360"/>
      </w:pPr>
    </w:lvl>
    <w:lvl w:ilvl="5" w:tplc="0409001B" w:tentative="1">
      <w:start w:val="1"/>
      <w:numFmt w:val="lowerRoman"/>
      <w:lvlText w:val="%6."/>
      <w:lvlJc w:val="right"/>
      <w:pPr>
        <w:tabs>
          <w:tab w:val="num" w:pos="3559"/>
        </w:tabs>
        <w:ind w:left="3559" w:hanging="180"/>
      </w:pPr>
    </w:lvl>
    <w:lvl w:ilvl="6" w:tplc="0409000F" w:tentative="1">
      <w:start w:val="1"/>
      <w:numFmt w:val="decimal"/>
      <w:lvlText w:val="%7."/>
      <w:lvlJc w:val="left"/>
      <w:pPr>
        <w:tabs>
          <w:tab w:val="num" w:pos="4279"/>
        </w:tabs>
        <w:ind w:left="4279" w:hanging="360"/>
      </w:pPr>
    </w:lvl>
    <w:lvl w:ilvl="7" w:tplc="04090019" w:tentative="1">
      <w:start w:val="1"/>
      <w:numFmt w:val="lowerLetter"/>
      <w:lvlText w:val="%8."/>
      <w:lvlJc w:val="left"/>
      <w:pPr>
        <w:tabs>
          <w:tab w:val="num" w:pos="4999"/>
        </w:tabs>
        <w:ind w:left="4999" w:hanging="360"/>
      </w:pPr>
    </w:lvl>
    <w:lvl w:ilvl="8" w:tplc="0409001B" w:tentative="1">
      <w:start w:val="1"/>
      <w:numFmt w:val="lowerRoman"/>
      <w:lvlText w:val="%9."/>
      <w:lvlJc w:val="right"/>
      <w:pPr>
        <w:tabs>
          <w:tab w:val="num" w:pos="5719"/>
        </w:tabs>
        <w:ind w:left="5719" w:hanging="180"/>
      </w:pPr>
    </w:lvl>
  </w:abstractNum>
  <w:abstractNum w:abstractNumId="6">
    <w:nsid w:val="6C302C0E"/>
    <w:multiLevelType w:val="hybridMultilevel"/>
    <w:tmpl w:val="2AA09038"/>
    <w:lvl w:ilvl="0" w:tplc="E05CA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vi-VN"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styleId="BodyText">
    <w:name w:val="Body Text"/>
    <w:basedOn w:val="Normal"/>
    <w:link w:val="BodyTextChar"/>
    <w:pPr>
      <w:spacing w:before="120"/>
      <w:jc w:val="both"/>
    </w:pPr>
    <w:rPr>
      <w:szCs w:val="24"/>
    </w:rPr>
  </w:style>
  <w:style w:type="character" w:customStyle="1" w:styleId="BodyTextChar">
    <w:name w:val="Body Text Char"/>
    <w:link w:val="BodyText"/>
    <w:rPr>
      <w:sz w:val="28"/>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US" w:eastAsia="en-US"/>
    </w:rPr>
  </w:style>
  <w:style w:type="paragraph" w:styleId="Title">
    <w:name w:val="Title"/>
    <w:basedOn w:val="Normal"/>
    <w:next w:val="Normal"/>
    <w:link w:val="Title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lang w:val="en-US" w:eastAsia="en-US"/>
    </w:rPr>
  </w:style>
  <w:style w:type="paragraph" w:customStyle="1" w:styleId="TableParagraph">
    <w:name w:val="Table Paragraph"/>
    <w:basedOn w:val="Normal"/>
    <w:qFormat/>
    <w:pPr>
      <w:widowControl w:val="0"/>
      <w:autoSpaceDE w:val="0"/>
      <w:autoSpaceDN w:val="0"/>
      <w:adjustRightInd w:val="0"/>
    </w:pPr>
    <w:rPr>
      <w:sz w:val="24"/>
      <w:szCs w:val="24"/>
      <w:lang w:val="en-AU" w:eastAsia="en-AU"/>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styleId="BodyText">
    <w:name w:val="Body Text"/>
    <w:basedOn w:val="Normal"/>
    <w:link w:val="BodyTextChar"/>
    <w:pPr>
      <w:spacing w:before="120"/>
      <w:jc w:val="both"/>
    </w:pPr>
    <w:rPr>
      <w:szCs w:val="24"/>
    </w:rPr>
  </w:style>
  <w:style w:type="character" w:customStyle="1" w:styleId="BodyTextChar">
    <w:name w:val="Body Text Char"/>
    <w:link w:val="BodyText"/>
    <w:rPr>
      <w:sz w:val="28"/>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US" w:eastAsia="en-US"/>
    </w:rPr>
  </w:style>
  <w:style w:type="paragraph" w:styleId="Title">
    <w:name w:val="Title"/>
    <w:basedOn w:val="Normal"/>
    <w:next w:val="Normal"/>
    <w:link w:val="Title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lang w:val="en-US" w:eastAsia="en-US"/>
    </w:rPr>
  </w:style>
  <w:style w:type="paragraph" w:customStyle="1" w:styleId="TableParagraph">
    <w:name w:val="Table Paragraph"/>
    <w:basedOn w:val="Normal"/>
    <w:qFormat/>
    <w:pPr>
      <w:widowControl w:val="0"/>
      <w:autoSpaceDE w:val="0"/>
      <w:autoSpaceDN w:val="0"/>
      <w:adjustRightInd w:val="0"/>
    </w:pPr>
    <w:rPr>
      <w:sz w:val="24"/>
      <w:szCs w:val="24"/>
      <w:lang w:val="en-AU" w:eastAsia="en-AU"/>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2397">
      <w:bodyDiv w:val="1"/>
      <w:marLeft w:val="0"/>
      <w:marRight w:val="0"/>
      <w:marTop w:val="0"/>
      <w:marBottom w:val="0"/>
      <w:divBdr>
        <w:top w:val="none" w:sz="0" w:space="0" w:color="auto"/>
        <w:left w:val="none" w:sz="0" w:space="0" w:color="auto"/>
        <w:bottom w:val="none" w:sz="0" w:space="0" w:color="auto"/>
        <w:right w:val="none" w:sz="0" w:space="0" w:color="auto"/>
      </w:divBdr>
    </w:div>
    <w:div w:id="976104430">
      <w:bodyDiv w:val="1"/>
      <w:marLeft w:val="0"/>
      <w:marRight w:val="0"/>
      <w:marTop w:val="0"/>
      <w:marBottom w:val="0"/>
      <w:divBdr>
        <w:top w:val="none" w:sz="0" w:space="0" w:color="auto"/>
        <w:left w:val="none" w:sz="0" w:space="0" w:color="auto"/>
        <w:bottom w:val="none" w:sz="0" w:space="0" w:color="auto"/>
        <w:right w:val="none" w:sz="0" w:space="0" w:color="auto"/>
      </w:divBdr>
    </w:div>
    <w:div w:id="1120412947">
      <w:bodyDiv w:val="1"/>
      <w:marLeft w:val="0"/>
      <w:marRight w:val="0"/>
      <w:marTop w:val="0"/>
      <w:marBottom w:val="0"/>
      <w:divBdr>
        <w:top w:val="none" w:sz="0" w:space="0" w:color="auto"/>
        <w:left w:val="none" w:sz="0" w:space="0" w:color="auto"/>
        <w:bottom w:val="none" w:sz="0" w:space="0" w:color="auto"/>
        <w:right w:val="none" w:sz="0" w:space="0" w:color="auto"/>
      </w:divBdr>
    </w:div>
    <w:div w:id="1331835659">
      <w:bodyDiv w:val="1"/>
      <w:marLeft w:val="0"/>
      <w:marRight w:val="0"/>
      <w:marTop w:val="0"/>
      <w:marBottom w:val="0"/>
      <w:divBdr>
        <w:top w:val="none" w:sz="0" w:space="0" w:color="auto"/>
        <w:left w:val="none" w:sz="0" w:space="0" w:color="auto"/>
        <w:bottom w:val="none" w:sz="0" w:space="0" w:color="auto"/>
        <w:right w:val="none" w:sz="0" w:space="0" w:color="auto"/>
      </w:divBdr>
    </w:div>
    <w:div w:id="1489445499">
      <w:bodyDiv w:val="1"/>
      <w:marLeft w:val="0"/>
      <w:marRight w:val="0"/>
      <w:marTop w:val="0"/>
      <w:marBottom w:val="0"/>
      <w:divBdr>
        <w:top w:val="none" w:sz="0" w:space="0" w:color="auto"/>
        <w:left w:val="none" w:sz="0" w:space="0" w:color="auto"/>
        <w:bottom w:val="none" w:sz="0" w:space="0" w:color="auto"/>
        <w:right w:val="none" w:sz="0" w:space="0" w:color="auto"/>
      </w:divBdr>
    </w:div>
    <w:div w:id="1512142013">
      <w:bodyDiv w:val="1"/>
      <w:marLeft w:val="0"/>
      <w:marRight w:val="0"/>
      <w:marTop w:val="0"/>
      <w:marBottom w:val="0"/>
      <w:divBdr>
        <w:top w:val="none" w:sz="0" w:space="0" w:color="auto"/>
        <w:left w:val="none" w:sz="0" w:space="0" w:color="auto"/>
        <w:bottom w:val="none" w:sz="0" w:space="0" w:color="auto"/>
        <w:right w:val="none" w:sz="0" w:space="0" w:color="auto"/>
      </w:divBdr>
    </w:div>
    <w:div w:id="1634169051">
      <w:bodyDiv w:val="1"/>
      <w:marLeft w:val="0"/>
      <w:marRight w:val="0"/>
      <w:marTop w:val="0"/>
      <w:marBottom w:val="0"/>
      <w:divBdr>
        <w:top w:val="none" w:sz="0" w:space="0" w:color="auto"/>
        <w:left w:val="none" w:sz="0" w:space="0" w:color="auto"/>
        <w:bottom w:val="none" w:sz="0" w:space="0" w:color="auto"/>
        <w:right w:val="none" w:sz="0" w:space="0" w:color="auto"/>
      </w:divBdr>
    </w:div>
    <w:div w:id="1913807435">
      <w:bodyDiv w:val="1"/>
      <w:marLeft w:val="0"/>
      <w:marRight w:val="0"/>
      <w:marTop w:val="0"/>
      <w:marBottom w:val="0"/>
      <w:divBdr>
        <w:top w:val="none" w:sz="0" w:space="0" w:color="auto"/>
        <w:left w:val="none" w:sz="0" w:space="0" w:color="auto"/>
        <w:bottom w:val="none" w:sz="0" w:space="0" w:color="auto"/>
        <w:right w:val="none" w:sz="0" w:space="0" w:color="auto"/>
      </w:divBdr>
    </w:div>
    <w:div w:id="21171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1F64-ABC3-4D0B-97D6-8CBEDC6D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408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Phụ lục 1</vt:lpstr>
      <vt:lpstr>Phụ lục 1</vt:lpstr>
    </vt:vector>
  </TitlesOfParts>
  <Company>&lt;egyptian hak&gt;</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lavanhung</dc:creator>
  <cp:lastModifiedBy>MTMQ</cp:lastModifiedBy>
  <cp:revision>2</cp:revision>
  <cp:lastPrinted>2024-01-02T07:52:00Z</cp:lastPrinted>
  <dcterms:created xsi:type="dcterms:W3CDTF">2026-01-05T07:31:00Z</dcterms:created>
  <dcterms:modified xsi:type="dcterms:W3CDTF">2026-01-05T07:31:00Z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12b8e08bc2ee1a3d390bc9f931ceffd6d945307478f77854d4b5b2cc90447512</vt:lpwstr>
  </property>
</Properties>
</file>